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9C" w:rsidRPr="00915F9C" w:rsidRDefault="00915F9C" w:rsidP="00915F9C">
      <w:pPr>
        <w:pBdr>
          <w:bottom w:val="single" w:sz="6" w:space="8" w:color="E5E5E5"/>
        </w:pBdr>
        <w:shd w:val="clear" w:color="auto" w:fill="FFFFFF"/>
        <w:spacing w:after="375"/>
        <w:jc w:val="both"/>
        <w:outlineLvl w:val="0"/>
        <w:rPr>
          <w:rFonts w:eastAsia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</w:p>
    <w:p w:rsidR="00915F9C" w:rsidRPr="00915F9C" w:rsidRDefault="00915F9C" w:rsidP="00915F9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b/>
          <w:bCs/>
          <w:color w:val="12A4D8"/>
          <w:sz w:val="48"/>
          <w:szCs w:val="48"/>
          <w:bdr w:val="none" w:sz="0" w:space="0" w:color="auto" w:frame="1"/>
          <w:shd w:val="clear" w:color="auto" w:fill="FFFFFF"/>
          <w:lang w:val="uk-UA" w:eastAsia="ru-RU"/>
        </w:rPr>
        <w:t>Умови зарахування учнів до спеціальної школи</w:t>
      </w:r>
    </w:p>
    <w:p w:rsidR="00915F9C" w:rsidRPr="00915F9C" w:rsidRDefault="00915F9C" w:rsidP="00915F9C">
      <w:pPr>
        <w:shd w:val="clear" w:color="auto" w:fill="FFFFFF"/>
        <w:spacing w:after="0"/>
        <w:ind w:left="23" w:right="23"/>
        <w:jc w:val="both"/>
        <w:outlineLvl w:val="1"/>
        <w:rPr>
          <w:rFonts w:eastAsia="Times New Roman" w:cs="Times New Roman"/>
          <w:color w:val="333333"/>
          <w:sz w:val="36"/>
          <w:szCs w:val="36"/>
          <w:lang w:val="uk-UA" w:eastAsia="ru-RU"/>
        </w:rPr>
      </w:pPr>
      <w:r w:rsidRPr="00915F9C">
        <w:rPr>
          <w:rFonts w:ascii="Cambria" w:eastAsia="Times New Roman" w:hAnsi="Cambria" w:cs="Times New Roman"/>
          <w:i/>
          <w:iCs/>
          <w:caps/>
          <w:color w:val="000000"/>
          <w:sz w:val="24"/>
          <w:lang w:val="uk-UA" w:eastAsia="ru-RU"/>
        </w:rPr>
        <w:t>ВИТЯГ З ПОРЯДКУ ЗАРАХУВАННЯ ОСІБ З ОСОБЛИВИМИ ОСВІТНІМИ ПОТРЕБАМИ ДО СПЕЦІАЛЬНИХ ЗАКЛАДІВ ЗАГАЛЬНОЇ СЕРЕДНЬОЇ ОСВІТИ, ЇХ ВІДРАХУВАННЯ, ПЕРЕВЕДЕННЯ ДО ІНШОГО ЗАКЛАДУ ОСВІТИ, ЗАТВЕРДЖЕНОГО НАКАЗОМ МОН ВІД 01.08.2018 № 831</w:t>
      </w:r>
    </w:p>
    <w:p w:rsidR="00915F9C" w:rsidRPr="00915F9C" w:rsidRDefault="00915F9C" w:rsidP="00915F9C">
      <w:pPr>
        <w:shd w:val="clear" w:color="auto" w:fill="FFFFFF"/>
        <w:spacing w:after="0"/>
        <w:ind w:left="23" w:right="23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915F9C" w:rsidRPr="00915F9C" w:rsidRDefault="00915F9C" w:rsidP="00915F9C">
      <w:pPr>
        <w:shd w:val="clear" w:color="auto" w:fill="FFFFFF"/>
        <w:spacing w:after="0"/>
        <w:ind w:left="23" w:right="-285"/>
        <w:jc w:val="both"/>
        <w:rPr>
          <w:rFonts w:ascii="Arial" w:eastAsia="Times New Roman" w:hAnsi="Arial" w:cs="Arial"/>
          <w:color w:val="333333"/>
          <w:szCs w:val="28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6. Зарахування до спеціального закладу освіти здійснюється відповідно до наказу його керівника, що видається на підставі заяви про зарахування одного з батьків дитини або її законних представників (далі - батьки) чи повнолітньої особи, поданої особисто (додаток).</w:t>
      </w:r>
    </w:p>
    <w:p w:rsidR="00915F9C" w:rsidRPr="00915F9C" w:rsidRDefault="00915F9C" w:rsidP="00915F9C">
      <w:pPr>
        <w:shd w:val="clear" w:color="auto" w:fill="FFFFFF"/>
        <w:spacing w:after="0"/>
        <w:ind w:left="23" w:right="23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 До 1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класу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спеціальних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закладів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освіти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зараховуються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, як правило,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діти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молодші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ніж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6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років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потребують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постійної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додаткової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ідтримки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освітньому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процесі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метою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забезпечення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їх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права на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освіту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15F9C" w:rsidRPr="00915F9C" w:rsidRDefault="00915F9C" w:rsidP="00915F9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До заяви додаються: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копія свідоцтва про народження дитини;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довідка за формою первинної облікової документації </w:t>
      </w:r>
      <w:hyperlink r:id="rId5" w:tgtFrame="_blank" w:history="1">
        <w:r w:rsidRPr="00915F9C">
          <w:rPr>
            <w:rFonts w:eastAsia="Times New Roman" w:cs="Times New Roman"/>
            <w:color w:val="0000FF"/>
            <w:u w:val="single"/>
            <w:lang w:val="uk-UA" w:eastAsia="ru-RU"/>
          </w:rPr>
          <w:t>№ 086-1/о</w:t>
        </w:r>
      </w:hyperlink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 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карта профілактичних щеплень, заповнена за формою первинної облікової документації </w:t>
      </w:r>
      <w:hyperlink r:id="rId6" w:tgtFrame="_blank" w:history="1">
        <w:r w:rsidRPr="00915F9C">
          <w:rPr>
            <w:rFonts w:eastAsia="Times New Roman" w:cs="Times New Roman"/>
            <w:color w:val="0000FF"/>
            <w:u w:val="single"/>
            <w:lang w:val="uk-UA" w:eastAsia="ru-RU"/>
          </w:rPr>
          <w:t>№ 063/о</w:t>
        </w:r>
      </w:hyperlink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 «Карта профілактичних щеплень», затвердженою наказом Міністерства охорони здоров’я України від 10 січня 2006 року № 1, зареєстрованим в Міністерстві юстиції України 08 червня 2006 року за № 686/12560 (надається за умови відсутності медичних протипоказань до проведення профілактичних щеплень);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довідка від лікаря-педіатра або сімейного лікаря закладу охорони здоров’я, у якому спостерігається дитина, для дітей дошкільного віку;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висновок інклюзивно-ресурсного центру про комплексну психолого-педагогічну оцінку розвитку дитини;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висновок лікарсько-консультативної комісії про встановлення дитині інвалідності (за наявності);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індивідуальна програма реабілітації особи (дитини) з інвалідністю (за наявності);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оригінал або копія відповідного документа про освіту (крім учнів першого і другого класів) за відповідний клас, документ, що підтверджує здобуття освіти;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висновок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сурдолога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або отоларинголога (для дітей з порушенням мовлення);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висновок психіатра (для осіб з порушеннями інтелектуального розвитку);</w:t>
      </w:r>
    </w:p>
    <w:p w:rsidR="00915F9C" w:rsidRPr="00915F9C" w:rsidRDefault="00915F9C" w:rsidP="00915F9C">
      <w:pPr>
        <w:numPr>
          <w:ilvl w:val="0"/>
          <w:numId w:val="1"/>
        </w:numPr>
        <w:shd w:val="clear" w:color="auto" w:fill="FFFFFF"/>
        <w:spacing w:after="0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рішення органу опіки та піклування (для дітей-сиріт та дітей, позбавлених батьківського піклування).</w:t>
      </w:r>
    </w:p>
    <w:p w:rsidR="00915F9C" w:rsidRPr="00915F9C" w:rsidRDefault="00915F9C" w:rsidP="00915F9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Cs w:val="28"/>
          <w:lang w:val="uk-UA"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val="uk-UA" w:eastAsia="ru-RU"/>
        </w:rPr>
        <w:t>7. Обробка персональних даних, отриманих спеціальним закладом освіти, здійснюється відповідно до Закону України «Про захист персональних даних».</w:t>
      </w:r>
    </w:p>
    <w:p w:rsidR="00915F9C" w:rsidRPr="00915F9C" w:rsidRDefault="00915F9C" w:rsidP="00915F9C">
      <w:pPr>
        <w:shd w:val="clear" w:color="auto" w:fill="FFFFFF"/>
        <w:spacing w:before="23" w:after="23"/>
        <w:ind w:left="23" w:right="23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r w:rsidRPr="00915F9C">
        <w:rPr>
          <w:rFonts w:ascii="Arial" w:eastAsia="Times New Roman" w:hAnsi="Arial" w:cs="Arial"/>
          <w:color w:val="333333"/>
          <w:szCs w:val="28"/>
          <w:lang w:eastAsia="ru-RU"/>
        </w:rPr>
        <w:t> </w:t>
      </w:r>
    </w:p>
    <w:p w:rsidR="00915F9C" w:rsidRDefault="00915F9C" w:rsidP="00915F9C">
      <w:pPr>
        <w:shd w:val="clear" w:color="auto" w:fill="FFFFFF"/>
        <w:spacing w:after="0"/>
        <w:ind w:left="23" w:right="23"/>
        <w:jc w:val="both"/>
        <w:rPr>
          <w:rFonts w:eastAsia="Times New Roman" w:cs="Times New Roman"/>
          <w:color w:val="333333"/>
          <w:sz w:val="39"/>
          <w:szCs w:val="39"/>
          <w:bdr w:val="none" w:sz="0" w:space="0" w:color="auto" w:frame="1"/>
          <w:shd w:val="clear" w:color="auto" w:fill="FFFFFF"/>
          <w:lang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ГРАНИЧНА НАПОВНЮВАНІСТЬ КЛАСІ</w:t>
      </w:r>
      <w:proofErr w:type="gram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В СТАНОВИТЬ</w:t>
      </w:r>
      <w:proofErr w:type="gramEnd"/>
      <w:r w:rsidRPr="00915F9C">
        <w:rPr>
          <w:rFonts w:eastAsia="Times New Roman" w:cs="Times New Roman"/>
          <w:color w:val="333333"/>
          <w:sz w:val="39"/>
          <w:szCs w:val="39"/>
          <w:bdr w:val="none" w:sz="0" w:space="0" w:color="auto" w:frame="1"/>
          <w:shd w:val="clear" w:color="auto" w:fill="FFFFFF"/>
          <w:lang w:eastAsia="ru-RU"/>
        </w:rPr>
        <w:t>:</w:t>
      </w:r>
    </w:p>
    <w:p w:rsidR="00915F9C" w:rsidRPr="00915F9C" w:rsidRDefault="00915F9C" w:rsidP="00915F9C">
      <w:pPr>
        <w:shd w:val="clear" w:color="auto" w:fill="FFFFFF"/>
        <w:spacing w:after="0"/>
        <w:ind w:left="23" w:right="23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15F9C" w:rsidRPr="00915F9C" w:rsidRDefault="00915F9C" w:rsidP="00915F9C">
      <w:pPr>
        <w:shd w:val="clear" w:color="auto" w:fill="FFFFFF"/>
        <w:spacing w:after="0"/>
        <w:ind w:left="23" w:right="23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 1)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дітей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із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легкими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порушеннями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інтелектуального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розвитку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- 12 </w:t>
      </w:r>
      <w:proofErr w:type="spellStart"/>
      <w:proofErr w:type="gram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осіб</w:t>
      </w:r>
      <w:proofErr w:type="spellEnd"/>
      <w:proofErr w:type="gram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915F9C" w:rsidRPr="00915F9C" w:rsidRDefault="00915F9C" w:rsidP="00915F9C">
      <w:pPr>
        <w:shd w:val="clear" w:color="auto" w:fill="FFFFFF"/>
        <w:spacing w:after="0"/>
        <w:ind w:left="23" w:right="23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2)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дітей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із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складними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порушеннями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розвитку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в т.ч.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розладами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спектру аутизму, синдромом Дауна),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помірними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порушеннями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інтеклектуального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розвитку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- 6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осіб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15F9C" w:rsidRPr="00915F9C" w:rsidRDefault="00915F9C" w:rsidP="00915F9C">
      <w:pPr>
        <w:shd w:val="clear" w:color="auto" w:fill="FFFFFF"/>
        <w:spacing w:after="0"/>
        <w:ind w:left="23" w:right="23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Клас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відкривається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умови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наявності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більш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як 50 %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граничної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наповнюваності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класі</w:t>
      </w:r>
      <w:proofErr w:type="gram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spellEnd"/>
      <w:proofErr w:type="gram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915F9C" w:rsidRPr="00915F9C" w:rsidRDefault="00915F9C" w:rsidP="00915F9C">
      <w:pPr>
        <w:shd w:val="clear" w:color="auto" w:fill="FFFFFF"/>
        <w:spacing w:after="0"/>
        <w:ind w:left="23" w:right="23"/>
        <w:jc w:val="both"/>
        <w:rPr>
          <w:rFonts w:ascii="Arial" w:eastAsia="Times New Roman" w:hAnsi="Arial" w:cs="Arial"/>
          <w:color w:val="333333"/>
          <w:szCs w:val="28"/>
          <w:lang w:eastAsia="ru-RU"/>
        </w:rPr>
      </w:pPr>
      <w:proofErr w:type="spellStart"/>
      <w:proofErr w:type="gram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Допускається</w:t>
      </w:r>
      <w:proofErr w:type="spellEnd"/>
      <w:proofErr w:type="gram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перевищення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граничної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наповнюваності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класів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більше</w:t>
      </w:r>
      <w:proofErr w:type="spellEnd"/>
      <w:r w:rsidRPr="00915F9C"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 xml:space="preserve"> як на одну особ</w:t>
      </w:r>
      <w:r>
        <w:rPr>
          <w:rFonts w:eastAsia="Times New Roman" w:cs="Times New Roman"/>
          <w:color w:val="333333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915F9C">
        <w:rPr>
          <w:rFonts w:ascii="Arial" w:eastAsia="Times New Roman" w:hAnsi="Arial" w:cs="Arial"/>
          <w:color w:val="333333"/>
          <w:szCs w:val="28"/>
          <w:lang w:eastAsia="ru-RU"/>
        </w:rPr>
        <w:t>.</w:t>
      </w:r>
    </w:p>
    <w:p w:rsidR="00F12C76" w:rsidRPr="00915F9C" w:rsidRDefault="00F12C76" w:rsidP="00915F9C">
      <w:pPr>
        <w:spacing w:after="0"/>
        <w:jc w:val="both"/>
        <w:rPr>
          <w:szCs w:val="28"/>
        </w:rPr>
      </w:pPr>
    </w:p>
    <w:sectPr w:rsidR="00F12C76" w:rsidRPr="00915F9C" w:rsidSect="00915F9C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49E2"/>
    <w:multiLevelType w:val="multilevel"/>
    <w:tmpl w:val="54B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9C"/>
    <w:rsid w:val="006C0B77"/>
    <w:rsid w:val="008242FF"/>
    <w:rsid w:val="00870751"/>
    <w:rsid w:val="00915F9C"/>
    <w:rsid w:val="00922C48"/>
    <w:rsid w:val="00B26DCD"/>
    <w:rsid w:val="00B915B7"/>
    <w:rsid w:val="00CE37D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15F9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5F9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915F9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15F9C"/>
    <w:rPr>
      <w:i/>
      <w:iCs/>
    </w:rPr>
  </w:style>
  <w:style w:type="paragraph" w:styleId="a4">
    <w:name w:val="Normal (Web)"/>
    <w:basedOn w:val="a"/>
    <w:uiPriority w:val="99"/>
    <w:semiHidden/>
    <w:unhideWhenUsed/>
    <w:rsid w:val="00915F9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15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686-06" TargetMode="External"/><Relationship Id="rId5" Type="http://schemas.openxmlformats.org/officeDocument/2006/relationships/hyperlink" Target="https://zakon.rada.gov.ua/laws/show/z0794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2023-12-13T11:14:00Z</dcterms:created>
  <dcterms:modified xsi:type="dcterms:W3CDTF">2023-12-13T11:16:00Z</dcterms:modified>
</cp:coreProperties>
</file>